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日本国憲法体系 9</w:t>
      </w:r>
    </w:p>
    <w:p>
      <w:r>
        <w:rPr>
          <w:rFonts w:ascii="宋体" w:hAnsi="宋体" w:eastAsia="宋体"/>
          <w:sz w:val="24"/>
        </w:rPr>
        <w:t>田中二郎，池田政章，綿貫芳源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日本国憲法体系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田中二郎，池田政章，綿貫芳源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本书出售、求购地址：https://www.jiaokey.com/book/detail/40527688.html</w:t>
      </w:r>
    </w:p>
    <w:p>
      <w:r>
        <w:t>更多相关图书推荐：https://www.jiaokey.com</w:t>
      </w:r>
    </w:p>
    <w:p>
      <w:r>
        <w:t>田中二郎，池田政章，綿貫芳源 其他作品：https://www.jiaokey.com/tag/田中二郎，池田政章，綿貫芳源.html</w:t>
      </w:r>
    </w:p>
    <w:p>
      <w:r>
        <w:t>有斐閣 出版图书：https://www.jiaokey.com/tag/有斐閣.html</w:t>
      </w:r>
    </w:p>
    <w:p>
      <w:r>
        <w:t>关键词搜索：https://www.jiaokey.com/tag/日本国憲法体系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