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近代法の再定位</w:t>
      </w:r>
    </w:p>
    <w:p>
      <w:r>
        <w:rPr>
          <w:rFonts w:ascii="宋体" w:hAnsi="宋体" w:eastAsia="宋体"/>
          <w:sz w:val="24"/>
        </w:rPr>
        <w:t>石井三記，寺田浩明，西川洋一，水林彪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近代法の再定位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石井三記，寺田浩明，西川洋一，水林彪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本书出售、求购地址：https://www.jiaokey.com/book/detail/40527169.html</w:t>
      </w:r>
    </w:p>
    <w:p>
      <w:r>
        <w:t>更多相关图书推荐：https://www.jiaokey.com</w:t>
      </w:r>
    </w:p>
    <w:p>
      <w:r>
        <w:t>石井三記，寺田浩明，西川洋一，水林彪 其他作品：https://www.jiaokey.com/tag/石井三記，寺田浩明，西川洋一，水林彪.html</w:t>
      </w:r>
    </w:p>
    <w:p>
      <w:r>
        <w:t>創文社 出版图书：https://www.jiaokey.com/tag/創文社.html</w:t>
      </w:r>
    </w:p>
    <w:p>
      <w:r>
        <w:t>关键词搜索：https://www.jiaokey.com/tag/近代法の再定位.html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