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講和後の外交 2-1</w:t>
      </w:r>
    </w:p>
    <w:p>
      <w:r>
        <w:rPr>
          <w:rFonts w:ascii="宋体" w:hAnsi="宋体" w:eastAsia="宋体"/>
          <w:sz w:val="24"/>
        </w:rPr>
        <w:t>萩原徹，吉沢清次郎，井口貞夫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講和後の外交 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萩原徹，吉沢清次郎，井口貞夫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本书出售、求购地址：https://www.jiaokey.com/book/detail/40526796.html</w:t>
      </w:r>
    </w:p>
    <w:p>
      <w:r>
        <w:t>更多相关图书推荐：https://www.jiaokey.com</w:t>
      </w:r>
    </w:p>
    <w:p>
      <w:r>
        <w:t>萩原徹，吉沢清次郎，井口貞夫 其他作品：https://www.jiaokey.com/tag/萩原徹，吉沢清次郎，井口貞夫.html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关键词搜索：https://www.jiaokey.com/tag/講和後の外交 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