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Q&amp;A市民と企業の民暴対策</w:t>
      </w:r>
    </w:p>
    <w:p>
      <w:r>
        <w:rPr>
          <w:rFonts w:ascii="宋体" w:hAnsi="宋体" w:eastAsia="宋体"/>
          <w:sz w:val="24"/>
        </w:rPr>
        <w:t>民事法情報センター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Q&amp;A市民と企業の民暴対策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民事法情報センター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きんざい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本书出售、求购地址：https://www.jiaokey.com/book/detail/40523714.html</w:t>
      </w:r>
    </w:p>
    <w:p>
      <w:r>
        <w:t>更多相关图书推荐：https://www.jiaokey.com</w:t>
      </w:r>
    </w:p>
    <w:p>
      <w:r>
        <w:t>民事法情報センター 其他作品：https://www.jiaokey.com/tag/民事法情報センター.html</w:t>
      </w:r>
    </w:p>
    <w:p>
      <w:r>
        <w:t>きんざい 出版图书：https://www.jiaokey.com/tag/きんざい.html</w:t>
      </w:r>
    </w:p>
    <w:p>
      <w:r>
        <w:t>关键词搜索：https://www.jiaokey.com/tag/Q&amp;A市民と企業の民暴対策.html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