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2大政党制は何をもたらすか</w:t>
      </w:r>
    </w:p>
    <w:p>
      <w:r>
        <w:rPr>
          <w:rFonts w:ascii="宋体" w:hAnsi="宋体" w:eastAsia="宋体"/>
          <w:sz w:val="24"/>
        </w:rPr>
        <w:t>川上和久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2大政党制は何をもたらすか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川上和久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ソフトバンククリエイティブ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本书出售、求购地址：https://www.jiaokey.com/book/detail/40522260.html</w:t>
      </w:r>
    </w:p>
    <w:p>
      <w:r>
        <w:t>更多相关图书推荐：https://www.jiaokey.com</w:t>
      </w:r>
    </w:p>
    <w:p>
      <w:r>
        <w:t>川上和久 其他作品：https://www.jiaokey.com/tag/川上和久.html</w:t>
      </w:r>
    </w:p>
    <w:p>
      <w:r>
        <w:t>ソフトバンククリエイティブ 出版图书：https://www.jiaokey.com/tag/ソフトバンククリエイティブ.html</w:t>
      </w:r>
    </w:p>
    <w:p>
      <w:r>
        <w:t>关键词搜索：https://www.jiaokey.com/tag/2大政党制は何をもたらすか.html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