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中央アジア·旧ソ連イスラーム諸国の読み方</w:t>
      </w:r>
    </w:p>
    <w:p>
      <w:r>
        <w:rPr>
          <w:rFonts w:ascii="宋体" w:hAnsi="宋体" w:eastAsia="宋体"/>
          <w:sz w:val="24"/>
        </w:rPr>
        <w:t>石田進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中央アジア·旧ソ連イスラーム諸国の読み方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本书出售、求购地址：https://www.jiaokey.com/book/detail/40519601.html</w:t>
      </w:r>
    </w:p>
    <w:p>
      <w:r>
        <w:t>更多相关图书推荐：https://www.jiaokey.com</w:t>
      </w:r>
    </w:p>
    <w:p>
      <w:r>
        <w:t>石田進 其他作品：https://www.jiaokey.com/tag/石田進.html</w:t>
      </w:r>
    </w:p>
    <w:p>
      <w:r>
        <w:t>ダイヤモンド社 出版图书：https://www.jiaokey.com/tag/ダイヤモンド社.html</w:t>
      </w:r>
    </w:p>
    <w:p>
      <w:r>
        <w:t>关键词搜索：https://www.jiaokey.com/tag/中央アジア·旧ソ連イスラーム諸国の読み方.html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