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新人材時代の職能資格制度</w:t>
      </w:r>
    </w:p>
    <w:p>
      <w:r>
        <w:rPr>
          <w:rFonts w:ascii="宋体" w:hAnsi="宋体" w:eastAsia="宋体"/>
          <w:sz w:val="24"/>
        </w:rPr>
        <w:t>楠田丘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新人材時代の職能資格制度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楠田丘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本书出售、求购地址：https://www.jiaokey.com/book/detail/40518187.html</w:t>
      </w:r>
    </w:p>
    <w:p>
      <w:r>
        <w:t>更多相关图书推荐：https://www.jiaokey.com</w:t>
      </w:r>
    </w:p>
    <w:p>
      <w:r>
        <w:t>楠田丘 其他作品：https://www.jiaokey.com/tag/楠田丘.html</w:t>
      </w:r>
    </w:p>
    <w:p>
      <w:r>
        <w:t>日本生産性本部労働情報センター 出版图书：https://www.jiaokey.com/tag/日本生産性本部労働情報センター.html</w:t>
      </w:r>
    </w:p>
    <w:p>
      <w:r>
        <w:t>关键词搜索：https://www.jiaokey.com/tag/新人材時代の職能資格制度.html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