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ドイツ演劇·文学の万華鏡</w:t>
      </w:r>
    </w:p>
    <w:p>
      <w:r>
        <w:rPr>
          <w:rFonts w:ascii="宋体" w:hAnsi="宋体" w:eastAsia="宋体"/>
          <w:sz w:val="24"/>
        </w:rPr>
        <w:t>岩淵達治先生古希記念論集刊行会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ドイツ演劇·文学の万華鏡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岩淵達治先生古希記念論集刊行会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本书出售、求购地址：https://www.jiaokey.com/book/detail/40483632.html</w:t>
      </w:r>
    </w:p>
    <w:p>
      <w:r>
        <w:t>更多相关图书推荐：https://www.jiaokey.com</w:t>
      </w:r>
    </w:p>
    <w:p>
      <w:r>
        <w:t>岩淵達治先生古希記念論集刊行会 其他作品：https://www.jiaokey.com/tag/岩淵達治先生古希記念論集刊行会.html</w:t>
      </w:r>
    </w:p>
    <w:p>
      <w:r>
        <w:t>同学社 出版图书：https://www.jiaokey.com/tag/同学社.html</w:t>
      </w:r>
    </w:p>
    <w:p>
      <w:r>
        <w:t>关键词搜索：https://www.jiaokey.com/tag/ドイツ演劇·文学の万華鏡.html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