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РЕГИОНАЛЬНЫЕ ОСОБЕННОСТИ ФОРМИРОВАНИЯ И ИСПОЛЬЗОВАНИЯ ОБЩЕСТВЕННЫХ ФОНДОВ ПОТРЕБЛЕНИЯ</w:t>
      </w:r>
    </w:p>
    <w:p>
      <w:r>
        <w:rPr>
          <w:rFonts w:ascii="宋体" w:hAnsi="宋体" w:eastAsia="宋体"/>
          <w:sz w:val="24"/>
        </w:rPr>
        <w:t xml:space="preserve"> Т. В. ТРОШИНА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РЕГИОНАЛЬНЫЕ ОСОБЕННОСТИ ФОРМИРОВАНИЯ И ИСПОЛЬЗОВАНИЯ ОБЩЕСТВЕННЫХ ФОНДОВ ПОТРЕБЛЕНИЯ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 В. ТРОШИНА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本书出售、求购地址：https://www.jiaokey.com/book/detail/40452144.html</w:t>
      </w:r>
    </w:p>
    <w:p>
      <w:r>
        <w:t>更多相关图书推荐：https://www.jiaokey.com</w:t>
      </w:r>
    </w:p>
    <w:p>
      <w:r>
        <w:t xml:space="preserve"> Т. В. ТРОШИНА 其他作品：https://www.jiaokey.com/tag/ Т. В. ТРОШИНА.html</w:t>
      </w:r>
    </w:p>
    <w:p>
      <w:r>
        <w:t>МОСКВА 《 НАУКА》 出版图书：https://www.jiaokey.com/tag/МОСКВА 《 НАУКА》.html</w:t>
      </w:r>
    </w:p>
    <w:p>
      <w:r>
        <w:t>关键词搜索：https://www.jiaokey.com/tag/РЕГИОНАЛЬНЫЕ ОСОБЕННОСТИ ФОРМИРОВАНИЯ И ИСПОЛЬЗОВАНИЯ ОБЩЕСТВЕННЫХ ФОНДОВ ПОТРЕБЛЕНИЯ.html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