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大恐慌前後</w:t>
      </w:r>
    </w:p>
    <w:p>
      <w:r>
        <w:rPr>
          <w:rFonts w:ascii="宋体" w:hAnsi="宋体" w:eastAsia="宋体"/>
          <w:sz w:val="24"/>
        </w:rPr>
        <w:t>入江節次郎、高橋哲雄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大恐慌前後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入江節次郎、高橋哲雄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本书出售、求购地址：https://www.jiaokey.com/book/detail/40447699.html</w:t>
      </w:r>
    </w:p>
    <w:p>
      <w:r>
        <w:t>更多相关图书推荐：https://www.jiaokey.com</w:t>
      </w:r>
    </w:p>
    <w:p>
      <w:r>
        <w:t>入江節次郎、高橋哲雄 其他作品：https://www.jiaokey.com/tag/入江節次郎、高橋哲雄.html</w:t>
      </w:r>
    </w:p>
    <w:p>
      <w:r>
        <w:t>同文館 出版图书：https://www.jiaokey.com/tag/同文館.html</w:t>
      </w:r>
    </w:p>
    <w:p>
      <w:r>
        <w:t>关键词搜索：https://www.jiaokey.com/tag/大恐慌前後.html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