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近代農業経営学の理論と応用</w:t>
      </w:r>
    </w:p>
    <w:p>
      <w:r>
        <w:rPr>
          <w:rFonts w:ascii="宋体" w:hAnsi="宋体" w:eastAsia="宋体"/>
          <w:sz w:val="24"/>
        </w:rPr>
        <w:t>工藤元先生定年退官記念出版企画委員会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近代農業経営学の理論と応用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工藤元先生定年退官記念出版企画委員会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本书出售、求购地址：https://www.jiaokey.com/book/detail/40447366.html</w:t>
      </w:r>
    </w:p>
    <w:p>
      <w:r>
        <w:t>更多相关图书推荐：https://www.jiaokey.com</w:t>
      </w:r>
    </w:p>
    <w:p>
      <w:r>
        <w:t>工藤元先生定年退官記念出版企画委員会 其他作品：https://www.jiaokey.com/tag/工藤元先生定年退官記念出版企画委員会.html</w:t>
      </w:r>
    </w:p>
    <w:p>
      <w:r>
        <w:t>明文書房 出版图书：https://www.jiaokey.com/tag/明文書房.html</w:t>
      </w:r>
    </w:p>
    <w:p>
      <w:r>
        <w:t>关键词搜索：https://www.jiaokey.com/tag/近代農業経営学の理論と応用.html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