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M－C計画u3000間接部門効率化の手引</w:t>
      </w:r>
    </w:p>
    <w:p>
      <w:r>
        <w:rPr>
          <w:rFonts w:ascii="宋体" w:hAnsi="宋体" w:eastAsia="宋体"/>
          <w:sz w:val="24"/>
        </w:rPr>
        <w:t>日本能率協会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M－C計画u3000間接部門効率化の手引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本书出售、求购地址：https://www.jiaokey.com/book/detail/40447244.html</w:t>
      </w:r>
    </w:p>
    <w:p>
      <w:r>
        <w:t>更多相关图书推荐：https://www.jiaokey.com</w:t>
      </w:r>
    </w:p>
    <w:p>
      <w:r>
        <w:t>日本能率協会 其他作品：https://www.jiaokey.com/tag/日本能率協会.html</w:t>
      </w:r>
    </w:p>
    <w:p>
      <w:r>
        <w:t>日本能率協会 出版图书：https://www.jiaokey.com/tag/日本能率協会.html</w:t>
      </w:r>
    </w:p>
    <w:p>
      <w:r>
        <w:t>关键词搜索：https://www.jiaokey.com/tag/M－C計画u3000間接部門効率化の手引.html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