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現代財政金融の基本問題</w:t>
      </w:r>
    </w:p>
    <w:p>
      <w:r>
        <w:rPr>
          <w:rFonts w:ascii="宋体" w:hAnsi="宋体" w:eastAsia="宋体"/>
          <w:sz w:val="24"/>
        </w:rPr>
        <w:t>稲毛満春、木村吉男、竹内信仁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現代財政金融の基本問題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稲毛満春、木村吉男、竹内信仁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有斐閣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本书出售、求购地址：https://www.jiaokey.com/book/detail/40447192.html</w:t>
      </w:r>
    </w:p>
    <w:p>
      <w:r>
        <w:t>更多相关图书推荐：https://www.jiaokey.com</w:t>
      </w:r>
    </w:p>
    <w:p>
      <w:r>
        <w:t>稲毛満春、木村吉男、竹内信仁 其他作品：https://www.jiaokey.com/tag/稲毛満春、木村吉男、竹内信仁.html</w:t>
      </w:r>
    </w:p>
    <w:p>
      <w:r>
        <w:t>有斐閣 出版图书：https://www.jiaokey.com/tag/有斐閣.html</w:t>
      </w:r>
    </w:p>
    <w:p>
      <w:r>
        <w:t>关键词搜索：https://www.jiaokey.com/tag/現代財政金融の基本問題.html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