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財政学（2）u3000日本の財政</w:t>
      </w:r>
    </w:p>
    <w:p>
      <w:r>
        <w:rPr>
          <w:rFonts w:ascii="宋体" w:hAnsi="宋体" w:eastAsia="宋体"/>
          <w:sz w:val="24"/>
        </w:rPr>
        <w:t>木下和夫、肥後和夫、大熊一郎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財政学（2）u3000日本の財政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木下和夫、肥後和夫、大熊一郎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本书出售、求购地址：https://www.jiaokey.com/book/detail/40447145.html</w:t>
      </w:r>
    </w:p>
    <w:p>
      <w:r>
        <w:t>更多相关图书推荐：https://www.jiaokey.com</w:t>
      </w:r>
    </w:p>
    <w:p>
      <w:r>
        <w:t>木下和夫、肥後和夫、大熊一郎 其他作品：https://www.jiaokey.com/tag/木下和夫、肥後和夫、大熊一郎.html</w:t>
      </w:r>
    </w:p>
    <w:p>
      <w:r>
        <w:t>有斐閣 出版图书：https://www.jiaokey.com/tag/有斐閣.html</w:t>
      </w:r>
    </w:p>
    <w:p>
      <w:r>
        <w:t>关键词搜索：https://www.jiaokey.com/tag/財政学（2）u3000日本の財政.html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