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事業創造のダイナミクス</w:t>
      </w:r>
    </w:p>
    <w:p>
      <w:r>
        <w:rPr>
          <w:rFonts w:ascii="宋体" w:hAnsi="宋体" w:eastAsia="宋体"/>
          <w:sz w:val="24"/>
        </w:rPr>
        <w:t>榊原清則、大滝精一、沼上幹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事業創造のダイナミクス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榊原清則、大滝精一、沼上幹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本书出售、求购地址：https://www.jiaokey.com/book/detail/40446242.html</w:t>
      </w:r>
    </w:p>
    <w:p>
      <w:r>
        <w:t>更多相关图书推荐：https://www.jiaokey.com</w:t>
      </w:r>
    </w:p>
    <w:p>
      <w:r>
        <w:t>榊原清則、大滝精一、沼上幹 其他作品：https://www.jiaokey.com/tag/榊原清則、大滝精一、沼上幹.html</w:t>
      </w:r>
    </w:p>
    <w:p>
      <w:r>
        <w:t>白桃書房 出版图书：https://www.jiaokey.com/tag/白桃書房.html</w:t>
      </w:r>
    </w:p>
    <w:p>
      <w:r>
        <w:t>关键词搜索：https://www.jiaokey.com/tag/事業創造のダイナミクス.html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