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近代日本社会思想史Ⅱ</w:t>
      </w:r>
    </w:p>
    <w:p>
      <w:r>
        <w:rPr>
          <w:rFonts w:ascii="宋体" w:hAnsi="宋体" w:eastAsia="宋体"/>
          <w:sz w:val="24"/>
        </w:rPr>
        <w:t>古田光，作田啓一，生松敬三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近代日本社会思想史Ⅱ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古田光，作田啓一，生松敬三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本书出售、求购地址：https://www.jiaokey.com/book/detail/40445962.html</w:t>
      </w:r>
    </w:p>
    <w:p>
      <w:r>
        <w:t>更多相关图书推荐：https://www.jiaokey.com</w:t>
      </w:r>
    </w:p>
    <w:p>
      <w:r>
        <w:t>古田光，作田啓一，生松敬三 其他作品：https://www.jiaokey.com/tag/古田光，作田啓一，生松敬三.html</w:t>
      </w:r>
    </w:p>
    <w:p>
      <w:r>
        <w:t>有斐閣 出版图书：https://www.jiaokey.com/tag/有斐閣.html</w:t>
      </w:r>
    </w:p>
    <w:p>
      <w:r>
        <w:t>关键词搜索：https://www.jiaokey.com/tag/近代日本社会思想史Ⅱ.html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