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G.シュメルダースu3000財政政策[第三版]</w:t>
      </w:r>
    </w:p>
    <w:p>
      <w:r>
        <w:rPr>
          <w:rFonts w:ascii="宋体" w:hAnsi="宋体" w:eastAsia="宋体"/>
          <w:sz w:val="24"/>
        </w:rPr>
        <w:t>山口忠夫，中村英雄，里中恆志，平井源治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G.シュメルダースu3000財政政策[第三版]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山口忠夫，中村英雄，里中恆志，平井源治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本书出售、求购地址：https://www.jiaokey.com/book/detail/40444747.html</w:t>
      </w:r>
    </w:p>
    <w:p>
      <w:r>
        <w:t>更多相关图书推荐：https://www.jiaokey.com</w:t>
      </w:r>
    </w:p>
    <w:p>
      <w:r>
        <w:t>山口忠夫，中村英雄，里中恆志，平井源治 其他作品：https://www.jiaokey.com/tag/山口忠夫，中村英雄，里中恆志，平井源治.html</w:t>
      </w:r>
    </w:p>
    <w:p>
      <w:r>
        <w:t>中央大学出版 出版图书：https://www.jiaokey.com/tag/中央大学出版.html</w:t>
      </w:r>
    </w:p>
    <w:p>
      <w:r>
        <w:t>关键词搜索：https://www.jiaokey.com/tag/G.シュメルダースu3000財政政策[第三版].html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