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財政政策の新展開</w:t>
      </w:r>
    </w:p>
    <w:p>
      <w:r>
        <w:rPr>
          <w:rFonts w:ascii="宋体" w:hAnsi="宋体" w:eastAsia="宋体"/>
          <w:sz w:val="24"/>
        </w:rPr>
        <w:t>大川政三，池田浩太郎，佐藤博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財政政策の新展開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大川政三，池田浩太郎，佐藤博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本书出售、求购地址：https://www.jiaokey.com/book/detail/40444726.html</w:t>
      </w:r>
    </w:p>
    <w:p>
      <w:r>
        <w:t>更多相关图书推荐：https://www.jiaokey.com</w:t>
      </w:r>
    </w:p>
    <w:p>
      <w:r>
        <w:t>大川政三，池田浩太郎，佐藤博 其他作品：https://www.jiaokey.com/tag/大川政三，池田浩太郎，佐藤博.html</w:t>
      </w:r>
    </w:p>
    <w:p>
      <w:r>
        <w:t>千倉書房版 出版图书：https://www.jiaokey.com/tag/千倉書房版.html</w:t>
      </w:r>
    </w:p>
    <w:p>
      <w:r>
        <w:t>关键词搜索：https://www.jiaokey.com/tag/財政政策の新展開.html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