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新型債券u3000新金融手法の活用と具体例</w:t>
      </w:r>
    </w:p>
    <w:p>
      <w:r>
        <w:rPr>
          <w:rFonts w:ascii="宋体" w:hAnsi="宋体" w:eastAsia="宋体"/>
          <w:sz w:val="24"/>
        </w:rPr>
        <w:t>生田卓史，片山勝伸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新型債券u3000新金融手法の活用と具体例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生田卓史，片山勝伸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本书出售、求购地址：https://www.jiaokey.com/book/detail/40444707.html</w:t>
      </w:r>
    </w:p>
    <w:p>
      <w:r>
        <w:t>更多相关图书推荐：https://www.jiaokey.com</w:t>
      </w:r>
    </w:p>
    <w:p>
      <w:r>
        <w:t>生田卓史，片山勝伸 其他作品：https://www.jiaokey.com/tag/生田卓史，片山勝伸.html</w:t>
      </w:r>
    </w:p>
    <w:p>
      <w:r>
        <w:t>近代セールス社 出版图书：https://www.jiaokey.com/tag/近代セールス社.html</w:t>
      </w:r>
    </w:p>
    <w:p>
      <w:r>
        <w:t>关键词搜索：https://www.jiaokey.com/tag/新型債券u3000新金融手法の活用と具体例.html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