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〈全訂版〉国税地方税u3000徴収事務詳解</w:t>
      </w:r>
    </w:p>
    <w:p>
      <w:r>
        <w:rPr>
          <w:rFonts w:ascii="宋体" w:hAnsi="宋体" w:eastAsia="宋体"/>
          <w:sz w:val="24"/>
        </w:rPr>
        <w:t>城下達彦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〈全訂版〉国税地方税u3000徴収事務詳解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城下達彦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本书出售、求购地址：https://www.jiaokey.com/book/detail/40444679.html</w:t>
      </w:r>
    </w:p>
    <w:p>
      <w:r>
        <w:t>更多相关图书推荐：https://www.jiaokey.com</w:t>
      </w:r>
    </w:p>
    <w:p>
      <w:r>
        <w:t>城下達彦 其他作品：https://www.jiaokey.com/tag/城下達彦.html</w:t>
      </w:r>
    </w:p>
    <w:p>
      <w:r>
        <w:t>清文社 出版图书：https://www.jiaokey.com/tag/清文社.html</w:t>
      </w:r>
    </w:p>
    <w:p>
      <w:r>
        <w:t>关键词搜索：https://www.jiaokey.com/tag/〈全訂版〉国税地方税u3000徴収事務詳解.html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