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固定資産税の重点詳解u3000昭和58年版</w:t>
      </w:r>
    </w:p>
    <w:p>
      <w:r>
        <w:rPr>
          <w:rFonts w:ascii="宋体" w:hAnsi="宋体" w:eastAsia="宋体"/>
          <w:sz w:val="24"/>
        </w:rPr>
        <w:t>吉田隆一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固定資産税の重点詳解u3000昭和58年版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本书出售、求购地址：https://www.jiaokey.com/book/detail/40444667.html</w:t>
      </w:r>
    </w:p>
    <w:p>
      <w:r>
        <w:t>更多相关图书推荐：https://www.jiaokey.com</w:t>
      </w:r>
    </w:p>
    <w:p>
      <w:r>
        <w:t>吉田隆一 其他作品：https://www.jiaokey.com/tag/吉田隆一.html</w:t>
      </w:r>
    </w:p>
    <w:p>
      <w:r>
        <w:t>中央経済社 出版图书：https://www.jiaokey.com/tag/中央経済社.html</w:t>
      </w:r>
    </w:p>
    <w:p>
      <w:r>
        <w:t>关键词搜索：https://www.jiaokey.com/tag/固定資産税の重点詳解u3000昭和58年版.html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