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国民の所得の基礎理論u3000経済循環図による展開</w:t>
      </w:r>
    </w:p>
    <w:p>
      <w:r>
        <w:rPr>
          <w:rFonts w:ascii="宋体" w:hAnsi="宋体" w:eastAsia="宋体"/>
          <w:sz w:val="24"/>
        </w:rPr>
        <w:t>梅原嘉介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国民の所得の基礎理論u3000経済循環図による展開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梅原嘉介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本书出售、求购地址：https://www.jiaokey.com/book/detail/40444447.html</w:t>
      </w:r>
    </w:p>
    <w:p>
      <w:r>
        <w:t>更多相关图书推荐：https://www.jiaokey.com</w:t>
      </w:r>
    </w:p>
    <w:p>
      <w:r>
        <w:t>梅原嘉介 其他作品：https://www.jiaokey.com/tag/梅原嘉介.html</w:t>
      </w:r>
    </w:p>
    <w:p>
      <w:r>
        <w:t>文眞堂 出版图书：https://www.jiaokey.com/tag/文眞堂.html</w:t>
      </w:r>
    </w:p>
    <w:p>
      <w:r>
        <w:t>关键词搜索：https://www.jiaokey.com/tag/国民の所得の基礎理論u3000経済循環図による展開.html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