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現代の金融理論Ⅰu3000流動性と貨幣需要</w:t>
      </w:r>
    </w:p>
    <w:p>
      <w:r>
        <w:rPr>
          <w:rFonts w:ascii="宋体" w:hAnsi="宋体" w:eastAsia="宋体"/>
          <w:sz w:val="24"/>
        </w:rPr>
        <w:t>水野正一，山下邦男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現代の金融理論Ⅰu3000流動性と貨幣需要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水野正一，山下邦男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本书出售、求购地址：https://www.jiaokey.com/book/detail/40444374.html</w:t>
      </w:r>
    </w:p>
    <w:p>
      <w:r>
        <w:t>更多相关图书推荐：https://www.jiaokey.com</w:t>
      </w:r>
    </w:p>
    <w:p>
      <w:r>
        <w:t>水野正一，山下邦男 其他作品：https://www.jiaokey.com/tag/水野正一，山下邦男.html</w:t>
      </w:r>
    </w:p>
    <w:p>
      <w:r>
        <w:t>勁草書房 出版图书：https://www.jiaokey.com/tag/勁草書房.html</w:t>
      </w:r>
    </w:p>
    <w:p>
      <w:r>
        <w:t>关键词搜索：https://www.jiaokey.com/tag/現代の金融理論Ⅰu3000流動性と貨幣需要.html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