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国際金融市場u3000マネー移動の舞台</w:t>
      </w:r>
    </w:p>
    <w:p>
      <w:r>
        <w:rPr>
          <w:rFonts w:ascii="宋体" w:hAnsi="宋体" w:eastAsia="宋体"/>
          <w:sz w:val="24"/>
        </w:rPr>
        <w:t>竹内一郎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国際金融市場u3000マネー移動の舞台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有斐閣選書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本书出售、求购地址：https://www.jiaokey.com/book/detail/40444291.html</w:t>
      </w:r>
    </w:p>
    <w:p>
      <w:r>
        <w:t>更多相关图书推荐：https://www.jiaokey.com</w:t>
      </w:r>
    </w:p>
    <w:p>
      <w:r>
        <w:t>竹内一郎 其他作品：https://www.jiaokey.com/tag/竹内一郎.html</w:t>
      </w:r>
    </w:p>
    <w:p>
      <w:r>
        <w:t>有斐閣選書 出版图书：https://www.jiaokey.com/tag/有斐閣選書.html</w:t>
      </w:r>
    </w:p>
    <w:p>
      <w:r>
        <w:t>关键词搜索：https://www.jiaokey.com/tag/国際金融市場u3000マネー移動の舞台.html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