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銀行実務総合講座1u3000預金</w:t>
      </w:r>
    </w:p>
    <w:p>
      <w:r>
        <w:rPr>
          <w:rFonts w:ascii="宋体" w:hAnsi="宋体" w:eastAsia="宋体"/>
          <w:sz w:val="24"/>
        </w:rPr>
        <w:t>堀内金，大島鋼一，岩沢真三，村山邦夫，冨長修身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銀行実務総合講座1u3000預金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堀内金，大島鋼一，岩沢真三，村山邦夫，冨長修身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本书出售、求购地址：https://www.jiaokey.com/book/detail/40444174.html</w:t>
      </w:r>
    </w:p>
    <w:p>
      <w:r>
        <w:t>更多相关图书推荐：https://www.jiaokey.com</w:t>
      </w:r>
    </w:p>
    <w:p>
      <w:r>
        <w:t>堀内金，大島鋼一，岩沢真三，村山邦夫，冨長修身 其他作品：https://www.jiaokey.com/tag/堀内金，大島鋼一，岩沢真三，村山邦夫，冨長修身.html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关键词搜索：https://www.jiaokey.com/tag/銀行実務総合講座1u3000預金.html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