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改正財務諸表規則等の解説</w:t>
      </w:r>
    </w:p>
    <w:p>
      <w:r>
        <w:rPr>
          <w:rFonts w:ascii="宋体" w:hAnsi="宋体" w:eastAsia="宋体"/>
          <w:sz w:val="24"/>
        </w:rPr>
        <w:t>新井清光，土居信良，前川浩造，村山徳五郎，ほか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改正財務諸表規則等の解説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新井清光，土居信良，前川浩造，村山徳五郎，ほか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商事法務研究会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本书出售、求购地址：https://www.jiaokey.com/book/detail/40443995.html</w:t>
      </w:r>
    </w:p>
    <w:p>
      <w:r>
        <w:t>更多相关图书推荐：https://www.jiaokey.com</w:t>
      </w:r>
    </w:p>
    <w:p>
      <w:r>
        <w:t>新井清光，土居信良，前川浩造，村山徳五郎，ほか 其他作品：https://www.jiaokey.com/tag/新井清光，土居信良，前川浩造，村山徳五郎，ほか.html</w:t>
      </w:r>
    </w:p>
    <w:p>
      <w:r>
        <w:t>商事法務研究会 出版图书：https://www.jiaokey.com/tag/商事法務研究会.html</w:t>
      </w:r>
    </w:p>
    <w:p>
      <w:r>
        <w:t>关键词搜索：https://www.jiaokey.com/tag/改正財務諸表規則等の解説.html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