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体系簿記論[改訂版]3</w:t>
      </w:r>
    </w:p>
    <w:p>
      <w:r>
        <w:rPr>
          <w:rFonts w:ascii="宋体" w:hAnsi="宋体" w:eastAsia="宋体"/>
          <w:sz w:val="24"/>
        </w:rPr>
        <w:t>飯野利夫，山口年一，嶌村剛雄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体系簿記論[改訂版]3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飯野利夫，山口年一，嶌村剛雄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本书出售、求购地址：https://www.jiaokey.com/book/detail/40443846.html</w:t>
      </w:r>
    </w:p>
    <w:p>
      <w:r>
        <w:t>更多相关图书推荐：https://www.jiaokey.com</w:t>
      </w:r>
    </w:p>
    <w:p>
      <w:r>
        <w:t>飯野利夫，山口年一，嶌村剛雄 其他作品：https://www.jiaokey.com/tag/飯野利夫，山口年一，嶌村剛雄.html</w:t>
      </w:r>
    </w:p>
    <w:p>
      <w:r>
        <w:t>税務経理協会 出版图书：https://www.jiaokey.com/tag/税務経理協会.html</w:t>
      </w:r>
    </w:p>
    <w:p>
      <w:r>
        <w:t>关键词搜索：https://www.jiaokey.com/tag/体系簿記論[改訂版]3.html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