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課税所得</w:t>
      </w:r>
    </w:p>
    <w:p>
      <w:r>
        <w:rPr>
          <w:rFonts w:ascii="宋体" w:hAnsi="宋体" w:eastAsia="宋体"/>
          <w:sz w:val="24"/>
        </w:rPr>
        <w:t>黒澤清，番場嘉一郎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課税所得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黒澤清，番場嘉一郎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本书出售、求购地址：https://www.jiaokey.com/book/detail/40443818.html</w:t>
      </w:r>
    </w:p>
    <w:p>
      <w:r>
        <w:t>更多相关图书推荐：https://www.jiaokey.com</w:t>
      </w:r>
    </w:p>
    <w:p>
      <w:r>
        <w:t>黒澤清，番場嘉一郎 其他作品：https://www.jiaokey.com/tag/黒澤清，番場嘉一郎.html</w:t>
      </w:r>
    </w:p>
    <w:p>
      <w:r>
        <w:t>中央経済社 出版图书：https://www.jiaokey.com/tag/中央経済社.html</w:t>
      </w:r>
    </w:p>
    <w:p>
      <w:r>
        <w:t>关键词搜索：https://www.jiaokey.com/tag/課税所得.html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