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比較法概論u3000原論下</w:t>
      </w:r>
    </w:p>
    <w:p>
      <w:r>
        <w:rPr>
          <w:rFonts w:ascii="宋体" w:hAnsi="宋体" w:eastAsia="宋体"/>
          <w:sz w:val="24"/>
        </w:rPr>
        <w:t>K.ツヴァイゲルト，H.ケッツ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比較法概論u3000原論下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K.ツヴァイゲルト，H.ケッツ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本书出售、求购地址：https://www.jiaokey.com/book/detail/40443678.html</w:t>
      </w:r>
    </w:p>
    <w:p>
      <w:r>
        <w:t>更多相关图书推荐：https://www.jiaokey.com</w:t>
      </w:r>
    </w:p>
    <w:p>
      <w:r>
        <w:t>K.ツヴァイゲルト，H.ケッツ 其他作品：https://www.jiaokey.com/tag/K.ツヴァイゲルト，H.ケッツ.html</w:t>
      </w:r>
    </w:p>
    <w:p>
      <w:r>
        <w:t>東京大学出版社 出版图书：https://www.jiaokey.com/tag/東京大学出版社.html</w:t>
      </w:r>
    </w:p>
    <w:p>
      <w:r>
        <w:t>关键词搜索：https://www.jiaokey.com/tag/比較法概論u3000原論下.html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