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雑貨染色法u3000上巻</w:t>
      </w:r>
    </w:p>
    <w:p>
      <w:r>
        <w:rPr>
          <w:rFonts w:ascii="宋体" w:hAnsi="宋体" w:eastAsia="宋体"/>
          <w:sz w:val="24"/>
        </w:rPr>
        <w:t>西田博太郎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雑貨染色法u3000上巻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西田博太郎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工業圖書株式会社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本书出售、求购地址：https://www.jiaokey.com/book/detail/40438969.html</w:t>
      </w:r>
    </w:p>
    <w:p>
      <w:r>
        <w:t>更多相关图书推荐：https://www.jiaokey.com</w:t>
      </w:r>
    </w:p>
    <w:p>
      <w:r>
        <w:t>西田博太郎 其他作品：https://www.jiaokey.com/tag/西田博太郎.html</w:t>
      </w:r>
    </w:p>
    <w:p>
      <w:r>
        <w:t>工業圖書株式会社 出版图书：https://www.jiaokey.com/tag/工業圖書株式会社.html</w:t>
      </w:r>
    </w:p>
    <w:p>
      <w:r>
        <w:t>关键词搜索：https://www.jiaokey.com/tag/雑貨染色法u3000上巻.html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