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建築計画u3000計画?設計課題の解き方</w:t>
      </w:r>
    </w:p>
    <w:p>
      <w:r>
        <w:rPr>
          <w:rFonts w:ascii="宋体" w:hAnsi="宋体" w:eastAsia="宋体"/>
          <w:sz w:val="24"/>
        </w:rPr>
        <w:t>柳沢忠，高橋博久，その他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建築計画u3000計画?設計課題の解き方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柳沢忠，高橋博久，その他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本书出售、求购地址：https://www.jiaokey.com/book/detail/40438831.html</w:t>
      </w:r>
    </w:p>
    <w:p>
      <w:r>
        <w:t>更多相关图书推荐：https://www.jiaokey.com</w:t>
      </w:r>
    </w:p>
    <w:p>
      <w:r>
        <w:t>柳沢忠，高橋博久，その他 其他作品：https://www.jiaokey.com/tag/柳沢忠，高橋博久，その他.html</w:t>
      </w:r>
    </w:p>
    <w:p>
      <w:r>
        <w:t>共立出版株式会社 出版图书：https://www.jiaokey.com/tag/共立出版株式会社.html</w:t>
      </w:r>
    </w:p>
    <w:p>
      <w:r>
        <w:t>关键词搜索：https://www.jiaokey.com/tag/建築計画u3000計画?設計課題の解き方.html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