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薬液注入法の設計と施行</w:t>
      </w:r>
    </w:p>
    <w:p>
      <w:r>
        <w:rPr>
          <w:rFonts w:ascii="宋体" w:hAnsi="宋体" w:eastAsia="宋体"/>
          <w:sz w:val="24"/>
        </w:rPr>
        <w:t>柴崎光弘，下田一雄，野上明男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薬液注入法の設計と施行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柴崎光弘，下田一雄，野上明男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本书出售、求购地址：https://www.jiaokey.com/book/detail/40438777.html</w:t>
      </w:r>
    </w:p>
    <w:p>
      <w:r>
        <w:t>更多相关图书推荐：https://www.jiaokey.com</w:t>
      </w:r>
    </w:p>
    <w:p>
      <w:r>
        <w:t>柴崎光弘，下田一雄，野上明男 其他作品：https://www.jiaokey.com/tag/柴崎光弘，下田一雄，野上明男.html</w:t>
      </w:r>
    </w:p>
    <w:p>
      <w:r>
        <w:t>山海堂 出版图书：https://www.jiaokey.com/tag/山海堂.html</w:t>
      </w:r>
    </w:p>
    <w:p>
      <w:r>
        <w:t>关键词搜索：https://www.jiaokey.com/tag/薬液注入法の設計と施行.html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