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多変量グラフ解析法</w:t>
      </w:r>
    </w:p>
    <w:p>
      <w:r>
        <w:rPr>
          <w:rFonts w:ascii="宋体" w:hAnsi="宋体" w:eastAsia="宋体"/>
          <w:sz w:val="24"/>
        </w:rPr>
        <w:t>脇本和昌，後藤昌司，松原義弘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多変量グラフ解析法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脇本和昌，後藤昌司，松原義弘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本书出售、求购地址：https://www.jiaokey.com/book/detail/40437083.html</w:t>
      </w:r>
    </w:p>
    <w:p>
      <w:r>
        <w:t>更多相关图书推荐：https://www.jiaokey.com</w:t>
      </w:r>
    </w:p>
    <w:p>
      <w:r>
        <w:t>脇本和昌，後藤昌司，松原義弘 其他作品：https://www.jiaokey.com/tag/脇本和昌，後藤昌司，松原義弘.html</w:t>
      </w:r>
    </w:p>
    <w:p>
      <w:r>
        <w:t>朝倉書店 出版图书：https://www.jiaokey.com/tag/朝倉書店.html</w:t>
      </w:r>
    </w:p>
    <w:p>
      <w:r>
        <w:t>关键词搜索：https://www.jiaokey.com/tag/多変量グラフ解析法.html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