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《猴鸟故事》所反映的历史背景初探  藏文</w:t>
      </w:r>
    </w:p>
    <w:p>
      <w:r>
        <w:rPr>
          <w:rFonts w:ascii="宋体" w:hAnsi="宋体" w:eastAsia="宋体"/>
          <w:sz w:val="24"/>
        </w:rPr>
        <w:t>强巴卓玛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《猴鸟故事》所反映的历史背景初探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强巴卓玛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本书出售、求购地址：https://www.jiaokey.com/book/detail/40377849.html</w:t>
      </w:r>
    </w:p>
    <w:p>
      <w:r>
        <w:t>更多相关图书推荐：https://www.jiaokey.com</w:t>
      </w:r>
    </w:p>
    <w:p>
      <w:r>
        <w:t>强巴卓玛 其他作品：https://www.jiaokey.com/tag/强巴卓玛.html</w:t>
      </w:r>
    </w:p>
    <w:p>
      <w:r>
        <w:t>关键词搜索：https://www.jiaokey.com/tag/《猴鸟故事》所反映的历史背景初探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