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PRACTICE REGARDING STATE SUCCESSION AND ISSUES OF RECOGNITION: THE PILOT PROJECT OF THE COUNCIL OF EUROPE</w:t>
      </w:r>
    </w:p>
    <w:p>
      <w:r>
        <w:rPr>
          <w:rFonts w:ascii="宋体" w:hAnsi="宋体" w:eastAsia="宋体"/>
          <w:sz w:val="24"/>
        </w:rPr>
        <w:t>OLIVIER RIBBELINK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PRACTICE REGARDING STATE SUCCESSION AND ISSUES OF RECOGNITION: THE PILOT PROJECT OF THE COUNCIL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RIBBELINK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本书出售、求购地址：https://www.jiaokey.com/book/detail/40327080.html</w:t>
      </w:r>
    </w:p>
    <w:p>
      <w:r>
        <w:t>更多相关图书推荐：https://www.jiaokey.com</w:t>
      </w:r>
    </w:p>
    <w:p>
      <w:r>
        <w:t>OLIVIER RIBBELINK 其他作品：https://www.jiaokey.com/tag/OLIVIER RIBBELINK.html</w:t>
      </w:r>
    </w:p>
    <w:p>
      <w:r>
        <w:t>KLUWER INTERNATIONAL 出版图书：https://www.jiaokey.com/tag/KLUWER INTERNATIONAL.html</w:t>
      </w:r>
    </w:p>
    <w:p>
      <w:r>
        <w:t>关键词搜索：https://www.jiaokey.com/tag/STATE PRACTICE REGARDING STATE SUCCESSION AND ISSUES OF RECOGNITION: THE PILOT PROJECT OF THE COUNCIL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