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维吾尔文</w:t>
      </w:r>
    </w:p>
    <w:p>
      <w:r>
        <w:rPr>
          <w:rFonts w:ascii="宋体" w:hAnsi="宋体" w:eastAsia="宋体"/>
          <w:sz w:val="24"/>
        </w:rPr>
        <w:t>吕建昌，张玉茹著；司马依·蒙力克译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吕建昌，张玉茹著；司马依·蒙力克译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本书出售、求购地址：https://www.jiaokey.com/book/detail/40312642.html</w:t>
      </w:r>
    </w:p>
    <w:p>
      <w:r>
        <w:t>更多相关图书推荐：https://www.jiaokey.com</w:t>
      </w:r>
    </w:p>
    <w:p>
      <w:r>
        <w:t>吕建昌，张玉茹著；司马依·蒙力克译 其他作品：https://www.jiaokey.com/tag/吕建昌，张玉茹著；司马依·蒙力克译.html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关键词搜索：https://www.jiaokey.com/tag/文物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