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and In-Situ Sterss Characterization of Hydrocarbon Reservoirs  GEOLOGICAL SOCIETY SPECIAL PUBLICATION NO.209</w:t>
      </w:r>
    </w:p>
    <w:p>
      <w:r>
        <w:rPr>
          <w:rFonts w:ascii="宋体" w:hAnsi="宋体" w:eastAsia="宋体"/>
          <w:sz w:val="24"/>
        </w:rPr>
        <w:t>M.AMEEN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and In-Situ Sterss Characterization of Hydrocarbon Reservoirs  GEOLOGICAL SOCIETY SPECIAL PUBLICATION NO.209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M.AMEEN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本书出售、求购地址：https://www.jiaokey.com/book/detail/40296905.html</w:t>
      </w:r>
    </w:p>
    <w:p>
      <w:r>
        <w:t>更多相关图书推荐：https://www.jiaokey.com</w:t>
      </w:r>
    </w:p>
    <w:p>
      <w:r>
        <w:t>M.AMEEN 其他作品：https://www.jiaokey.com/tag/M.AMEEN.html</w:t>
      </w:r>
    </w:p>
    <w:p>
      <w:r>
        <w:t>关键词搜索：https://www.jiaokey.com/tag/Fracture and In-Situ Sterss Characterization of Hydrocarbon Reservoirs  GEOLOGICAL SOCIETY SPECIAL PUBLICATION NO.209.html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