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最新CAI事情:未来型教育システムと教育産業の対応</w:t>
      </w:r>
    </w:p>
    <w:p>
      <w:r>
        <w:rPr>
          <w:rFonts w:ascii="宋体" w:hAnsi="宋体" w:eastAsia="宋体"/>
          <w:sz w:val="24"/>
        </w:rPr>
        <w:t>日本能率協会総合研究所編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最新CAI事情:未来型教育システムと教育産業の対応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日本能率協会総合研究所編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本书出售、求购地址：https://www.jiaokey.com/book/detail/40293073.html</w:t>
      </w:r>
    </w:p>
    <w:p>
      <w:r>
        <w:t>更多相关图书推荐：https://www.jiaokey.com</w:t>
      </w:r>
    </w:p>
    <w:p>
      <w:r>
        <w:t>日本能率協会総合研究所編 其他作品：https://www.jiaokey.com/tag/日本能率協会総合研究所編.html</w:t>
      </w:r>
    </w:p>
    <w:p>
      <w:r>
        <w:t>关键词搜索：https://www.jiaokey.com/tag/最新CAI事情:未来型教育システムと教育産業の対応.html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