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COMMERCIAL CODE  （下册）</w:t>
      </w:r>
    </w:p>
    <w:p>
      <w:r>
        <w:rPr>
          <w:rFonts w:ascii="宋体" w:hAnsi="宋体" w:eastAsia="宋体"/>
          <w:sz w:val="24"/>
        </w:rPr>
        <w:t>国立中兴大学法律研究所主译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COMMERCIAL CODE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国立中兴大学法律研究所主译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本书出售、求购地址：https://www.jiaokey.com/book/detail/40284992.html</w:t>
      </w:r>
    </w:p>
    <w:p>
      <w:r>
        <w:t>更多相关图书推荐：https://www.jiaokey.com</w:t>
      </w:r>
    </w:p>
    <w:p>
      <w:r>
        <w:t>国立中兴大学法律研究所主译 其他作品：https://www.jiaokey.com/tag/国立中兴大学法律研究所主译.html</w:t>
      </w:r>
    </w:p>
    <w:p>
      <w:r>
        <w:t>台湾银行经济研究室编印 出版图书：https://www.jiaokey.com/tag/台湾银行经济研究室编印.html</w:t>
      </w:r>
    </w:p>
    <w:p>
      <w:r>
        <w:t>关键词搜索：https://www.jiaokey.com/tag/UNIFORM COMMERCIAL CODE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