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SHEAR BEHAVIOR AND ITS INFLUENCE ON FIBER DAMAGE IN SAPPHIRE-REINFORCED GAMMA TITANIUM ALMIDE COMOSITES</w:t>
      </w:r>
    </w:p>
    <w:p>
      <w:r>
        <w:rPr>
          <w:rFonts w:ascii="宋体" w:hAnsi="宋体" w:eastAsia="宋体"/>
          <w:sz w:val="24"/>
        </w:rPr>
        <w:t>JAY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SHEAR BEHAVIOR AND ITS INFLUENCE ON FIBER DAMAGE IN SAPPHIRE-REINFORCED GAMMA TITANIUM ALMIDE COMOSITES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本书出售、求购地址：https://www.jiaokey.com/book/detail/40281830.html</w:t>
      </w:r>
    </w:p>
    <w:p>
      <w:r>
        <w:t>更多相关图书推荐：https://www.jiaokey.com</w:t>
      </w:r>
    </w:p>
    <w:p>
      <w:r>
        <w:t>JAY M. 其他作品：https://www.jiaokey.com/tag/JAY M..html</w:t>
      </w:r>
    </w:p>
    <w:p>
      <w:r>
        <w:t>关键词搜索：https://www.jiaokey.com/tag/INTERFACIAL SHEAR BEHAVIOR AND ITS INFLUENCE ON FIBER DAMAGE IN SAPPHIRE-REINFORCED GAMMA TITANIUM ALMIDE COMOSITES.html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