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ON THE LINE:ESSAYS BY ARTISTS ABOUT THE POINT WHERE THEIR ART AND ACTIVISM INTERSECT</w:t>
      </w:r>
    </w:p>
    <w:p>
      <w:r>
        <w:rPr>
          <w:rFonts w:ascii="宋体" w:hAnsi="宋体" w:eastAsia="宋体"/>
          <w:sz w:val="24"/>
        </w:rPr>
        <w:t>JACK HIRSCHMAN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ON THE LINE:ESSAYS BY ARTISTS ABOUT THE POINT WHERE THEIR ART AND ACTIVISM INTERSECT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HIRSCHMAN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CURBSTONE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本书出售、求购地址：https://www.jiaokey.com/book/detail/40257225.html</w:t>
      </w:r>
    </w:p>
    <w:p>
      <w:r>
        <w:t>更多相关图书推荐：https://www.jiaokey.com</w:t>
      </w:r>
    </w:p>
    <w:p>
      <w:r>
        <w:t>JACK HIRSCHMAN 其他作品：https://www.jiaokey.com/tag/JACK HIRSCHMAN.html</w:t>
      </w:r>
    </w:p>
    <w:p>
      <w:r>
        <w:t>CURBSTONE PRESS 出版图书：https://www.jiaokey.com/tag/CURBSTONE PRESS.html</w:t>
      </w:r>
    </w:p>
    <w:p>
      <w:r>
        <w:t>关键词搜索：https://www.jiaokey.com/tag/ART ON THE LINE:ESSAYS BY ARTISTS ABOUT THE POINT WHERE THEIR ART AND ACTIVISM INTERSECT.html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