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战略与管理工程  企业、环境与危机  2009战略管理国际会议论文集</w:t>
      </w:r>
    </w:p>
    <w:p>
      <w:r>
        <w:rPr>
          <w:rFonts w:ascii="宋体" w:hAnsi="宋体" w:eastAsia="宋体"/>
          <w:sz w:val="24"/>
        </w:rPr>
        <w:t>揭筱纹，徐二明，Ingrid 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战略与管理工程  企业、环境与危机  2009战略管理国际会议论文集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揭筱纹，徐二明，Ingrid 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本书出售、求购地址：https://www.jiaokey.com/book/detail/40256013.html</w:t>
      </w:r>
    </w:p>
    <w:p>
      <w:r>
        <w:t>更多相关图书推荐：https://www.jiaokey.com</w:t>
      </w:r>
    </w:p>
    <w:p>
      <w:r>
        <w:t>揭筱纹，徐二明，Ingrid Schneider 其他作品：https://www.jiaokey.com/tag/揭筱纹，徐二明，Ingrid Schneider.html</w:t>
      </w:r>
    </w:p>
    <w:p>
      <w:r>
        <w:t>四川大学出版社 出版图书：https://www.jiaokey.com/tag/四川大学出版社.html</w:t>
      </w:r>
    </w:p>
    <w:p>
      <w:r>
        <w:t>关键词搜索：https://www.jiaokey.com/tag/战略与管理工程  企业、环境与危机  2009战略管理国际会议论文集.html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