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税收筹划原理</w:t>
      </w:r>
    </w:p>
    <w:p>
      <w:r>
        <w:rPr>
          <w:rFonts w:ascii="宋体" w:hAnsi="宋体" w:eastAsia="宋体"/>
          <w:sz w:val="24"/>
        </w:rPr>
        <w:t>萨莉·M·琼斯  谢利·C·罗兹-卡塔纳奇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萨莉·M·琼斯  谢利·C·罗兹-卡塔纳奇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本书出售、求购地址：https://www.jiaokey.com/book/detail/40235827.html</w:t>
      </w:r>
    </w:p>
    <w:p>
      <w:r>
        <w:t>更多相关图书推荐：https://www.jiaokey.com</w:t>
      </w:r>
    </w:p>
    <w:p>
      <w:r>
        <w:t>萨莉·M·琼斯  谢利·C·罗兹-卡塔纳奇 其他作品：https://www.jiaokey.com/tag/萨莉·M·琼斯  谢利·C·罗兹-卡塔纳奇.html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关键词搜索：https://www.jiaokey.com/tag/税收筹划原理.html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