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中华人民共和国交通运输部  汶川地震灾后公路恢复重建技术指南  2008年第25号</w:t>
      </w:r>
    </w:p>
    <w:p>
      <w:r>
        <w:rPr>
          <w:rFonts w:ascii="宋体" w:hAnsi="宋体" w:eastAsia="宋体"/>
          <w:sz w:val="24"/>
        </w:rPr>
        <w:t>四川省交通厅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中华人民共和国交通运输部  汶川地震灾后公路恢复重建技术指南  2008年第25号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本书出售、求购地址：https://www.jiaokey.com/book/detail/40234461.html</w:t>
      </w:r>
    </w:p>
    <w:p>
      <w:r>
        <w:t>更多相关图书推荐：https://www.jiaokey.com</w:t>
      </w:r>
    </w:p>
    <w:p>
      <w:r>
        <w:t>四川省交通厅 其他作品：https://www.jiaokey.com/tag/四川省交通厅.html</w:t>
      </w:r>
    </w:p>
    <w:p>
      <w:r>
        <w:t>人民交通出版社 出版图书：https://www.jiaokey.com/tag/人民交通出版社.html</w:t>
      </w:r>
    </w:p>
    <w:p>
      <w:r>
        <w:t>关键词搜索：https://www.jiaokey.com/tag/中华人民共和国交通运输部  汶川地震灾后公路恢复重建技术指南  2008年第25号.html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