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发展企业战略取向理论：来自比利时佛拉芒与中国河北企业的实证研究</w:t>
      </w:r>
    </w:p>
    <w:p>
      <w:r>
        <w:rPr>
          <w:rFonts w:ascii="宋体" w:hAnsi="宋体" w:eastAsia="宋体"/>
          <w:sz w:val="24"/>
        </w:rPr>
        <w:t>湛军著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发展企业战略取向理论：来自比利时佛拉芒与中国河北企业的实证研究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湛军著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本书出售、求购地址：https://www.jiaokey.com/book/detail/40211330.html</w:t>
      </w:r>
    </w:p>
    <w:p>
      <w:r>
        <w:t>更多相关图书推荐：https://www.jiaokey.com</w:t>
      </w:r>
    </w:p>
    <w:p>
      <w:r>
        <w:t>湛军著 其他作品：https://www.jiaokey.com/tag/湛军著.html</w:t>
      </w:r>
    </w:p>
    <w:p>
      <w:r>
        <w:t>中国商务出版社 出版图书：https://www.jiaokey.com/tag/中国商务出版社.html</w:t>
      </w:r>
    </w:p>
    <w:p>
      <w:r>
        <w:t>关键词搜索：https://www.jiaokey.com/tag/发展企业战略取向理论：来自比利时佛拉芒与中国河北企业的实证研究.html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