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军事力の诸相  戦争の本质と</w:t>
      </w:r>
    </w:p>
    <w:p>
      <w:r>
        <w:rPr>
          <w:rFonts w:ascii="宋体" w:hAnsi="宋体" w:eastAsia="宋体"/>
          <w:sz w:val="24"/>
        </w:rPr>
        <w:t>石津朋之著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军事力の诸相  戦争の本质と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本书出售、求购地址：https://www.jiaokey.com/book/detail/40191712.html</w:t>
      </w:r>
    </w:p>
    <w:p>
      <w:r>
        <w:t>更多相关图书推荐：https://www.jiaokey.com</w:t>
      </w:r>
    </w:p>
    <w:p>
      <w:r>
        <w:t>石津朋之著 其他作品：https://www.jiaokey.com/tag/石津朋之著.html</w:t>
      </w:r>
    </w:p>
    <w:p>
      <w:r>
        <w:t>株式会社彩流社 出版图书：https://www.jiaokey.com/tag/株式会社彩流社.html</w:t>
      </w:r>
    </w:p>
    <w:p>
      <w:r>
        <w:t>关键词搜索：https://www.jiaokey.com/tag/军事力の诸相  戦争の本质と.html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