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3</w:t>
      </w:r>
    </w:p>
    <w:p>
      <w:r>
        <w:rPr>
          <w:rFonts w:ascii="宋体" w:hAnsi="宋体" w:eastAsia="宋体"/>
          <w:sz w:val="24"/>
        </w:rPr>
        <w:t>冯国超主编；居马拜克·马哈泰，阿恒拜克·哈甫恰热依译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冯国超主编；居马拜克·马哈泰，阿恒拜克·哈甫恰热依译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本书出售、求购地址：https://www.jiaokey.com/book/detail/40186855.html</w:t>
      </w:r>
    </w:p>
    <w:p>
      <w:r>
        <w:t>更多相关图书推荐：https://www.jiaokey.com</w:t>
      </w:r>
    </w:p>
    <w:p>
      <w:r>
        <w:t>冯国超主编；居马拜克·马哈泰，阿恒拜克·哈甫恰热依译 其他作品：https://www.jiaokey.com/tag/冯国超主编；居马拜克·马哈泰，阿恒拜克·哈甫恰热依译.html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