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NATIONAL POWER IN THE POSTINDUSTRIAL AGE</w:t>
      </w:r>
    </w:p>
    <w:p>
      <w:r>
        <w:rPr>
          <w:rFonts w:ascii="宋体" w:hAnsi="宋体" w:eastAsia="宋体"/>
          <w:sz w:val="24"/>
        </w:rPr>
        <w:t>ASBLEY J.TELLIS  JANICE BIALLY  CHRISTOPHER LAYNE  MELISSA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NATIONAL POWER IN THE POSTINDUSTRIAL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ASBLEY J.TELLIS  JANICE BIALLY  CHRISTOPHER LAYNE  MELISSA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本书出售、求购地址：https://www.jiaokey.com/book/detail/40180575.html</w:t>
      </w:r>
    </w:p>
    <w:p>
      <w:r>
        <w:t>更多相关图书推荐：https://www.jiaokey.com</w:t>
      </w:r>
    </w:p>
    <w:p>
      <w:r>
        <w:t>ASBLEY J.TELLIS  JANICE BIALLY  CHRISTOPHER LAYNE  MELISSA MCPHERSON 其他作品：https://www.jiaokey.com/tag/ASBLEY J.TELLIS  JANICE BIALLY  CHRISTOPHER LAYNE  MELISSA MCPHERSON.html</w:t>
      </w:r>
    </w:p>
    <w:p>
      <w:r>
        <w:t>关键词搜索：https://www.jiaokey.com/tag/MEASURING NATIONAL POWER IN THE POSTINDUSTRIAL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