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GENERAL FORM-FUNCTIONS FOR MULTIPERFORATED CYLINDRICAL PROPELLANT GRAINS</w:t>
      </w:r>
    </w:p>
    <w:p>
      <w:r>
        <w:rPr>
          <w:rFonts w:ascii="宋体" w:hAnsi="宋体" w:eastAsia="宋体"/>
          <w:sz w:val="24"/>
        </w:rPr>
        <w:t>FRANZ R.LYNN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GENERAL FORM-FUNCTIONS FOR MULTIPERFORATED CYLINDRICAL PROPELLANT GRAINS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R.LYNN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本书出售、求购地址：https://www.jiaokey.com/book/detail/40173171.html</w:t>
      </w:r>
    </w:p>
    <w:p>
      <w:r>
        <w:t>更多相关图书推荐：https://www.jiaokey.com</w:t>
      </w:r>
    </w:p>
    <w:p>
      <w:r>
        <w:t>FRANZ R.LYNN 其他作品：https://www.jiaokey.com/tag/FRANZ R.LYNN.html</w:t>
      </w:r>
    </w:p>
    <w:p>
      <w:r>
        <w:t>关键词搜索：https://www.jiaokey.com/tag/DEVELOPMENT OF GENERAL FORM-FUNCTIONS FOR MULTIPERFORATED CYLINDRICAL PROPELLANT GRAINS.html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