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OF THE EFFECT OF PRODUCTION RATE VARIATION ON DIRECT LABOR REQUIREMENTS FOR MISSILE PRODUCTION PROGRAMS</w:t>
      </w:r>
    </w:p>
    <w:p>
      <w:r>
        <w:rPr>
          <w:rFonts w:ascii="宋体" w:hAnsi="宋体" w:eastAsia="宋体"/>
          <w:sz w:val="24"/>
        </w:rPr>
        <w:t>SCOTT C.ALLEN  CHARLES M.FARR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OF THE EFFECT OF PRODUCTION RATE VARIATION ON DIRECT LABOR REQUIREMENTS FOR MISSILE PRODUCTION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C.ALLEN  CHARLES M.FARR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本书出售、求购地址：https://www.jiaokey.com/book/detail/40172775.html</w:t>
      </w:r>
    </w:p>
    <w:p>
      <w:r>
        <w:t>更多相关图书推荐：https://www.jiaokey.com</w:t>
      </w:r>
    </w:p>
    <w:p>
      <w:r>
        <w:t>SCOTT C.ALLEN  CHARLES M.FARR 其他作品：https://www.jiaokey.com/tag/SCOTT C.ALLEN  CHARLES M.FARR.html</w:t>
      </w:r>
    </w:p>
    <w:p>
      <w:r>
        <w:t>关键词搜索：https://www.jiaokey.com/tag/AN INVESTIGATION OF THE EFFECT OF PRODUCTION RATE VARIATION ON DIRECT LABOR REQUIREMENTS FOR MISSILE PRODUCTION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